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4B002849" w:rsidR="00176F19" w:rsidRDefault="00D67211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CADRE DE REPONSE TECHNIQUE </w:t>
      </w:r>
    </w:p>
    <w:p w14:paraId="5C30A9B1" w14:textId="77777777" w:rsidR="00CC688F" w:rsidRDefault="00A97ECA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LOT 3 </w:t>
      </w:r>
      <w:r w:rsidR="00CC688F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CC688F">
        <w:rPr>
          <w:sz w:val="40"/>
          <w:szCs w:val="40"/>
        </w:rPr>
        <w:t xml:space="preserve">Ecrans bureautique </w:t>
      </w:r>
    </w:p>
    <w:p w14:paraId="27C4A90B" w14:textId="0E4DDD54" w:rsidR="00A97ECA" w:rsidRDefault="00CC688F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>&amp; Equipement divers</w:t>
      </w:r>
    </w:p>
    <w:p w14:paraId="0DD051E9" w14:textId="77777777" w:rsidR="00F76B43" w:rsidRPr="00F76B43" w:rsidRDefault="00F76B43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64AFECDF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 xml:space="preserve">Lot </w:t>
      </w:r>
      <w:r w:rsidR="00D93CD6">
        <w:t>3</w:t>
      </w:r>
      <w:r>
        <w:t xml:space="preserve"> : Fourniture </w:t>
      </w:r>
      <w:r w:rsidR="008231FA">
        <w:t xml:space="preserve">écrans bureautiques et équipements divers </w:t>
      </w:r>
    </w:p>
    <w:p w14:paraId="31C4BE46" w14:textId="07AF5963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n°2026DSI0</w:t>
      </w:r>
      <w:r w:rsidR="005941F4">
        <w:t>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5F1B47E0" w14:textId="77777777" w:rsidR="00B27D51" w:rsidRPr="00D27345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sdt>
      <w:sdtPr>
        <w:rPr>
          <w:rFonts w:eastAsiaTheme="minorEastAsia" w:cstheme="minorBidi"/>
          <w:b w:val="0"/>
          <w:bCs w:val="0"/>
          <w:caps w:val="0"/>
          <w:color w:val="auto"/>
          <w:sz w:val="22"/>
          <w:szCs w:val="22"/>
        </w:rPr>
        <w:id w:val="1469712243"/>
        <w:docPartObj>
          <w:docPartGallery w:val="Table of Contents"/>
          <w:docPartUnique/>
        </w:docPartObj>
      </w:sdtPr>
      <w:sdtEndPr/>
      <w:sdtContent>
        <w:p w14:paraId="5ECE565E" w14:textId="52D8D032" w:rsidR="00F76B43" w:rsidRDefault="00F76B43" w:rsidP="00F76B43">
          <w:pPr>
            <w:pStyle w:val="En-ttedetabledesmatires"/>
          </w:pPr>
          <w:r>
            <w:t>Table des matières</w:t>
          </w:r>
        </w:p>
        <w:p w14:paraId="2D308909" w14:textId="79724D8C" w:rsidR="006C5D00" w:rsidRDefault="00F76B43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553458" w:history="1">
            <w:r w:rsidR="006C5D00" w:rsidRPr="00724FB4">
              <w:rPr>
                <w:rStyle w:val="Lienhypertexte"/>
                <w:rFonts w:ascii="Calibri" w:hAnsi="Calibri"/>
                <w:noProof/>
              </w:rPr>
              <w:t>2</w:t>
            </w:r>
            <w:r w:rsidR="006C5D00"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6C5D00" w:rsidRPr="00724FB4">
              <w:rPr>
                <w:rStyle w:val="Lienhypertexte"/>
                <w:noProof/>
              </w:rPr>
              <w:t>Objet de la consultation</w:t>
            </w:r>
            <w:r w:rsidR="006C5D00">
              <w:rPr>
                <w:noProof/>
                <w:webHidden/>
              </w:rPr>
              <w:tab/>
            </w:r>
            <w:r w:rsidR="006C5D00">
              <w:rPr>
                <w:noProof/>
                <w:webHidden/>
              </w:rPr>
              <w:fldChar w:fldCharType="begin"/>
            </w:r>
            <w:r w:rsidR="006C5D00">
              <w:rPr>
                <w:noProof/>
                <w:webHidden/>
              </w:rPr>
              <w:instrText xml:space="preserve"> PAGEREF _Toc240553458 \h </w:instrText>
            </w:r>
            <w:r w:rsidR="006C5D00">
              <w:rPr>
                <w:noProof/>
                <w:webHidden/>
              </w:rPr>
            </w:r>
            <w:r w:rsidR="006C5D00">
              <w:rPr>
                <w:noProof/>
                <w:webHidden/>
              </w:rPr>
              <w:fldChar w:fldCharType="separate"/>
            </w:r>
            <w:r w:rsidR="006C5D00">
              <w:rPr>
                <w:noProof/>
                <w:webHidden/>
              </w:rPr>
              <w:t>3</w:t>
            </w:r>
            <w:r w:rsidR="006C5D00">
              <w:rPr>
                <w:noProof/>
                <w:webHidden/>
              </w:rPr>
              <w:fldChar w:fldCharType="end"/>
            </w:r>
          </w:hyperlink>
        </w:p>
        <w:p w14:paraId="3A05E2AE" w14:textId="2E7DE6CF" w:rsidR="006C5D00" w:rsidRDefault="006C5D00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553459" w:history="1">
            <w:r w:rsidRPr="00724FB4">
              <w:rPr>
                <w:rStyle w:val="Lienhypertexte"/>
                <w:rFonts w:ascii="Calibri" w:hAnsi="Calibri"/>
                <w:noProof/>
              </w:rPr>
              <w:t>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724FB4">
              <w:rPr>
                <w:rStyle w:val="Lienhypertexte"/>
                <w:noProof/>
              </w:rPr>
              <w:t>Consignes de rédaction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_Toc240553459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600D6" w14:textId="0A9A8BFD" w:rsidR="006C5D00" w:rsidRDefault="006C5D00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553460" w:history="1">
            <w:r w:rsidRPr="00724FB4">
              <w:rPr>
                <w:rStyle w:val="Lienhypertexte"/>
                <w:rFonts w:ascii="Calibri" w:hAnsi="Calibri"/>
                <w:noProof/>
              </w:rPr>
              <w:t>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724FB4">
              <w:rPr>
                <w:rStyle w:val="Lienhypertexte"/>
                <w:noProof/>
              </w:rPr>
              <w:t>Offre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_Toc240553460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ABA21" w14:textId="22F91A29" w:rsidR="006C5D00" w:rsidRDefault="006C5D00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553461" w:history="1">
            <w:r w:rsidRPr="00724FB4">
              <w:rPr>
                <w:rStyle w:val="Lienhypertexte"/>
                <w:rFonts w:ascii="Calibri" w:hAnsi="Calibri"/>
                <w:noProof/>
              </w:rPr>
              <w:t>4.1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724FB4">
              <w:rPr>
                <w:rStyle w:val="Lienhypertexte"/>
                <w:noProof/>
              </w:rPr>
              <w:t>Performances, ergonomie et confort d’utilisation des écrans bureautiques et équipements divers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_Toc240553461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35A28" w14:textId="058AD97C" w:rsidR="006C5D00" w:rsidRDefault="006C5D00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553462" w:history="1">
            <w:r w:rsidRPr="00724FB4">
              <w:rPr>
                <w:rStyle w:val="Lienhypertexte"/>
                <w:rFonts w:ascii="Calibri" w:hAnsi="Calibri"/>
                <w:noProof/>
              </w:rPr>
              <w:t>4.2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724FB4">
              <w:rPr>
                <w:rStyle w:val="Lienhypertexte"/>
                <w:noProof/>
              </w:rPr>
              <w:t>Service après-vente et garantie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_Toc240553462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D68607" w14:textId="5ACF6D39" w:rsidR="006C5D00" w:rsidRDefault="006C5D00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553463" w:history="1">
            <w:r w:rsidRPr="00724FB4">
              <w:rPr>
                <w:rStyle w:val="Lienhypertexte"/>
                <w:rFonts w:ascii="Calibri" w:hAnsi="Calibri"/>
                <w:noProof/>
              </w:rPr>
              <w:t>4.1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724FB4">
              <w:rPr>
                <w:rStyle w:val="Lienhypertexte"/>
                <w:noProof/>
              </w:rPr>
              <w:t>Performance environnementale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_Toc240553463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4442B" w14:textId="53E077AF" w:rsidR="00F76B43" w:rsidRDefault="00F76B43">
          <w:r>
            <w:rPr>
              <w:b/>
              <w:bCs/>
            </w:rPr>
            <w:fldChar w:fldCharType="end"/>
          </w:r>
        </w:p>
      </w:sdtContent>
    </w:sdt>
    <w:p w14:paraId="15B2FE68" w14:textId="63FE9BDA" w:rsidR="00176F19" w:rsidRDefault="00176F19">
      <w:pPr>
        <w:rPr>
          <w:rFonts w:cstheme="majorHAnsi"/>
          <w:i/>
        </w:rPr>
      </w:pPr>
    </w:p>
    <w:p w14:paraId="0ED69242" w14:textId="68FD44E9" w:rsidR="00541BC6" w:rsidRDefault="00541BC6">
      <w:pPr>
        <w:rPr>
          <w:rFonts w:cstheme="majorHAnsi"/>
          <w:i/>
        </w:rPr>
      </w:pPr>
      <w:r>
        <w:rPr>
          <w:rFonts w:cstheme="majorHAnsi"/>
          <w:i/>
        </w:rPr>
        <w:br w:type="page"/>
      </w:r>
    </w:p>
    <w:p w14:paraId="58B5A379" w14:textId="77777777" w:rsidR="0071186E" w:rsidRDefault="00120986">
      <w:pPr>
        <w:pStyle w:val="Titre1"/>
      </w:pPr>
      <w:bookmarkStart w:id="0" w:name="_Toc240553458"/>
      <w:r>
        <w:lastRenderedPageBreak/>
        <w:t>Objet de la consultation</w:t>
      </w:r>
      <w:bookmarkEnd w:id="0"/>
    </w:p>
    <w:p w14:paraId="4B4D4D52" w14:textId="0F31C5D6" w:rsidR="0071186E" w:rsidRDefault="00120986">
      <w:pPr>
        <w:jc w:val="both"/>
      </w:pPr>
      <w:r>
        <w:t xml:space="preserve">L'objet de la présente consultation est de conclure un accord-cadre mono-attributaire à bons de commande pour </w:t>
      </w:r>
      <w:r w:rsidR="00BD2D2F">
        <w:t>le renouvellement des équipements informatiques</w:t>
      </w:r>
      <w:r>
        <w:t xml:space="preserve"> de la Société Anonyme Aéroport de La Réunion Roland Garros (SA ARRG). Ce</w:t>
      </w:r>
      <w:r w:rsidR="00BD2D2F">
        <w:t>t accord-cadre</w:t>
      </w:r>
      <w:r>
        <w:t xml:space="preserve"> vise à garantir </w:t>
      </w:r>
      <w:r w:rsidR="00BD2D2F">
        <w:t xml:space="preserve">l’homogénéité, </w:t>
      </w:r>
      <w:r>
        <w:t xml:space="preserve">la continuité, la sécurité et l'optimisation des </w:t>
      </w:r>
      <w:r w:rsidR="00BD2D2F">
        <w:t>équipements informatiques</w:t>
      </w:r>
      <w:r>
        <w:t xml:space="preserve">, tout en répondant aux besoins évolutifs de l'aéroport. </w:t>
      </w:r>
    </w:p>
    <w:p w14:paraId="36733D73" w14:textId="7CB2DD6C" w:rsidR="0071186E" w:rsidRDefault="00D9128F">
      <w:pPr>
        <w:pStyle w:val="Titre1"/>
      </w:pPr>
      <w:bookmarkStart w:id="1" w:name="_Toc240553459"/>
      <w:r>
        <w:t>Consignes de rédaction</w:t>
      </w:r>
      <w:bookmarkEnd w:id="1"/>
    </w:p>
    <w:p w14:paraId="3C17ACD3" w14:textId="531B7CDC" w:rsidR="000655D6" w:rsidRDefault="00497AF1">
      <w:pPr>
        <w:jc w:val="both"/>
      </w:pPr>
      <w:r>
        <w:t>Les soumissionnaires</w:t>
      </w:r>
      <w:r w:rsidR="004A0560">
        <w:t xml:space="preserve"> devront compléter le présent cadre de réponse technique</w:t>
      </w:r>
      <w:r w:rsidR="005D1E42">
        <w:t xml:space="preserve">. Ce document complété constituera le mémoire technique </w:t>
      </w:r>
      <w:r>
        <w:t>du soumissionnaire</w:t>
      </w:r>
      <w:r w:rsidR="005D1E42">
        <w:t xml:space="preserve">. </w:t>
      </w:r>
    </w:p>
    <w:p w14:paraId="54340BCE" w14:textId="016D23DD" w:rsidR="005D1E42" w:rsidRPr="00497AF1" w:rsidRDefault="005D1E42">
      <w:pPr>
        <w:jc w:val="both"/>
        <w:rPr>
          <w:b/>
          <w:bCs/>
          <w:color w:val="EE0000"/>
          <w:u w:val="single"/>
        </w:rPr>
      </w:pPr>
      <w:r w:rsidRPr="00497AF1">
        <w:rPr>
          <w:b/>
          <w:bCs/>
          <w:color w:val="EE0000"/>
          <w:u w:val="single"/>
        </w:rPr>
        <w:t>LE SOMMAIRE CI</w:t>
      </w:r>
      <w:r w:rsidR="00497AF1" w:rsidRPr="00497AF1">
        <w:rPr>
          <w:b/>
          <w:bCs/>
          <w:color w:val="EE0000"/>
          <w:u w:val="single"/>
        </w:rPr>
        <w:t xml:space="preserve">-DESSOUS DEVRA IMPERATIVEMENT ETRE RESPECTE PAR LES SOUMISSIONNAIRES. </w:t>
      </w:r>
    </w:p>
    <w:p w14:paraId="0E9B0135" w14:textId="15BE5CB7" w:rsidR="006E48FA" w:rsidRDefault="00F95378" w:rsidP="006E48FA">
      <w:pPr>
        <w:pStyle w:val="Titre1"/>
      </w:pPr>
      <w:bookmarkStart w:id="2" w:name="_Toc240553460"/>
      <w:r>
        <w:t>O</w:t>
      </w:r>
      <w:r w:rsidR="00ED03C7">
        <w:t>ffre technique</w:t>
      </w:r>
      <w:bookmarkEnd w:id="2"/>
    </w:p>
    <w:p w14:paraId="58999437" w14:textId="7F178DBE" w:rsidR="00F95378" w:rsidRDefault="00945B4D" w:rsidP="00F95378">
      <w:pPr>
        <w:pStyle w:val="Titre2"/>
      </w:pPr>
      <w:bookmarkStart w:id="3" w:name="_Toc240553461"/>
      <w:r>
        <w:t>Performances, ergonomie et confort d’utilisation des écrans bureautiques et équipements divers</w:t>
      </w:r>
      <w:bookmarkEnd w:id="3"/>
    </w:p>
    <w:p w14:paraId="5C5AC41E" w14:textId="259FDB3A" w:rsidR="00F95378" w:rsidRDefault="002F42BE" w:rsidP="00F95378">
      <w:pPr>
        <w:rPr>
          <w:i/>
          <w:iCs/>
          <w:sz w:val="20"/>
          <w:szCs w:val="20"/>
        </w:rPr>
      </w:pPr>
      <w:r w:rsidRPr="007137EA">
        <w:rPr>
          <w:i/>
          <w:iCs/>
          <w:sz w:val="20"/>
          <w:szCs w:val="20"/>
        </w:rPr>
        <w:t xml:space="preserve">Conformément aux prescriptions du CCTP (vitesse de traitement, capacité de </w:t>
      </w:r>
      <w:r w:rsidRPr="007137EA">
        <w:rPr>
          <w:b/>
          <w:bCs/>
          <w:i/>
          <w:iCs/>
          <w:sz w:val="20"/>
          <w:szCs w:val="20"/>
        </w:rPr>
        <w:t>stockage</w:t>
      </w:r>
      <w:r w:rsidRPr="007137EA">
        <w:rPr>
          <w:i/>
          <w:iCs/>
          <w:sz w:val="20"/>
          <w:szCs w:val="20"/>
        </w:rPr>
        <w:t>, compatibilité avec les logiciels requis, etc.)</w:t>
      </w:r>
    </w:p>
    <w:p w14:paraId="66810E3D" w14:textId="03D00B39" w:rsidR="002F42BE" w:rsidRPr="005421EB" w:rsidRDefault="005421EB" w:rsidP="005421EB">
      <w:pPr>
        <w:rPr>
          <w:i/>
          <w:iCs/>
          <w:color w:val="E36C0A" w:themeColor="accent6" w:themeShade="BF"/>
          <w:sz w:val="20"/>
          <w:szCs w:val="20"/>
        </w:rPr>
      </w:pPr>
      <w:r w:rsidRPr="005421EB">
        <w:rPr>
          <w:i/>
          <w:iCs/>
          <w:color w:val="E36C0A" w:themeColor="accent6" w:themeShade="BF"/>
          <w:sz w:val="20"/>
          <w:szCs w:val="20"/>
        </w:rPr>
        <w:t xml:space="preserve">Les </w:t>
      </w:r>
      <w:r w:rsidR="00FC175D">
        <w:rPr>
          <w:i/>
          <w:iCs/>
          <w:color w:val="E36C0A" w:themeColor="accent6" w:themeShade="BF"/>
          <w:sz w:val="20"/>
          <w:szCs w:val="20"/>
        </w:rPr>
        <w:t>soumissionnaires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fournir des fiches techniques détaillant les caractéristiques des processeurs, RAM, et stockage.</w:t>
      </w:r>
      <w:r w:rsidR="00C04C9E">
        <w:rPr>
          <w:i/>
          <w:iCs/>
          <w:color w:val="E36C0A" w:themeColor="accent6" w:themeShade="BF"/>
          <w:sz w:val="20"/>
          <w:szCs w:val="20"/>
        </w:rPr>
        <w:t xml:space="preserve"> </w:t>
      </w:r>
      <w:r>
        <w:rPr>
          <w:i/>
          <w:iCs/>
          <w:color w:val="E36C0A" w:themeColor="accent6" w:themeShade="BF"/>
          <w:sz w:val="20"/>
          <w:szCs w:val="20"/>
        </w:rPr>
        <w:t>Les soumissionnaires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</w:t>
      </w:r>
      <w:r>
        <w:rPr>
          <w:i/>
          <w:iCs/>
          <w:color w:val="E36C0A" w:themeColor="accent6" w:themeShade="BF"/>
          <w:sz w:val="20"/>
          <w:szCs w:val="20"/>
        </w:rPr>
        <w:t>prouver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la compatibilité de leurs matériels avec ces logiciels.</w:t>
      </w:r>
    </w:p>
    <w:p w14:paraId="0503AFE5" w14:textId="77777777" w:rsidR="001E77F5" w:rsidRPr="008A1BA6" w:rsidRDefault="001E77F5" w:rsidP="001E77F5">
      <w:pPr>
        <w:rPr>
          <w:i/>
          <w:iCs/>
        </w:rPr>
      </w:pPr>
      <w:r>
        <w:rPr>
          <w:i/>
          <w:iCs/>
          <w:color w:val="E36C0A" w:themeColor="accent6" w:themeShade="BF"/>
          <w:sz w:val="20"/>
          <w:szCs w:val="20"/>
        </w:rPr>
        <w:t xml:space="preserve">En complément, le </w:t>
      </w:r>
      <w:r w:rsidRPr="008A1BA6">
        <w:rPr>
          <w:i/>
          <w:iCs/>
          <w:color w:val="E36C0A" w:themeColor="accent6" w:themeShade="BF"/>
          <w:sz w:val="20"/>
          <w:szCs w:val="20"/>
        </w:rPr>
        <w:t>candidat doit renseigner le document Lot 1_Matrice de conformit</w:t>
      </w:r>
      <w:r>
        <w:rPr>
          <w:i/>
          <w:iCs/>
          <w:color w:val="E36C0A" w:themeColor="accent6" w:themeShade="BF"/>
          <w:sz w:val="20"/>
          <w:szCs w:val="20"/>
        </w:rPr>
        <w:t xml:space="preserve">é et le joindre à son offre. </w:t>
      </w:r>
    </w:p>
    <w:p w14:paraId="1DA88EFF" w14:textId="3FE2CCB8" w:rsidR="00463E5F" w:rsidRDefault="00FC175D" w:rsidP="00FC175D">
      <w:pPr>
        <w:pStyle w:val="Titre2"/>
      </w:pPr>
      <w:bookmarkStart w:id="4" w:name="_Toc240553462"/>
      <w:r>
        <w:t>Service après-vente et garantie</w:t>
      </w:r>
      <w:bookmarkEnd w:id="4"/>
    </w:p>
    <w:p w14:paraId="4FBDCBCC" w14:textId="5670FE79" w:rsidR="00463E5F" w:rsidRDefault="00C04C9E" w:rsidP="00463E5F">
      <w:pPr>
        <w:rPr>
          <w:i/>
          <w:iCs/>
          <w:sz w:val="20"/>
          <w:szCs w:val="20"/>
        </w:rPr>
      </w:pPr>
      <w:r w:rsidRPr="00410707">
        <w:rPr>
          <w:i/>
          <w:iCs/>
          <w:sz w:val="20"/>
          <w:szCs w:val="20"/>
        </w:rPr>
        <w:t>Certification "Réparateur officiel" de la marque proposée, délai de réponse et réparation, garantie des équipements proposés (articles 3.3 et 4.3 du CCTP)</w:t>
      </w:r>
    </w:p>
    <w:p w14:paraId="533D252C" w14:textId="0E7376DB" w:rsidR="00B52600" w:rsidRDefault="00C04C9E" w:rsidP="00C04C9E">
      <w:pPr>
        <w:rPr>
          <w:i/>
          <w:iCs/>
          <w:color w:val="E36C0A" w:themeColor="accent6" w:themeShade="BF"/>
          <w:sz w:val="20"/>
          <w:szCs w:val="20"/>
        </w:rPr>
      </w:pPr>
      <w:r w:rsidRPr="00C04C9E">
        <w:rPr>
          <w:i/>
          <w:iCs/>
          <w:color w:val="E36C0A" w:themeColor="accent6" w:themeShade="BF"/>
          <w:sz w:val="20"/>
          <w:szCs w:val="20"/>
        </w:rPr>
        <w:t>Les candidats doivent fournir un engagement écrit précisant les délais de réponse et de réparation.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C04C9E">
        <w:rPr>
          <w:i/>
          <w:iCs/>
          <w:color w:val="E36C0A" w:themeColor="accent6" w:themeShade="BF"/>
          <w:sz w:val="20"/>
          <w:szCs w:val="20"/>
        </w:rPr>
        <w:t xml:space="preserve">Une liste des pièces détachées disponibles et leur durée de disponibilité doit être incluse dans </w:t>
      </w:r>
      <w:r w:rsidR="00B52600">
        <w:rPr>
          <w:i/>
          <w:iCs/>
          <w:color w:val="E36C0A" w:themeColor="accent6" w:themeShade="BF"/>
          <w:sz w:val="20"/>
          <w:szCs w:val="20"/>
        </w:rPr>
        <w:t>l’offre du soumissionnaire</w:t>
      </w:r>
      <w:r w:rsidR="00D96A10"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p w14:paraId="7DFA0A0A" w14:textId="77777777" w:rsidR="006C5D00" w:rsidRDefault="006C5D00" w:rsidP="006C5D00">
      <w:pPr>
        <w:pStyle w:val="Titre2"/>
        <w:numPr>
          <w:ilvl w:val="1"/>
          <w:numId w:val="43"/>
        </w:numPr>
      </w:pPr>
      <w:bookmarkStart w:id="5" w:name="_Toc240296667"/>
      <w:bookmarkStart w:id="6" w:name="_Toc240553463"/>
      <w:r>
        <w:t>Performance environnementale</w:t>
      </w:r>
      <w:bookmarkEnd w:id="5"/>
      <w:bookmarkEnd w:id="6"/>
    </w:p>
    <w:p w14:paraId="7C6022BB" w14:textId="77777777" w:rsidR="006C5D00" w:rsidRDefault="006C5D00" w:rsidP="006C5D00">
      <w:pPr>
        <w:rPr>
          <w:i/>
          <w:iCs/>
          <w:sz w:val="20"/>
          <w:szCs w:val="20"/>
        </w:rPr>
      </w:pPr>
      <w:r w:rsidRPr="008C6D36">
        <w:rPr>
          <w:i/>
          <w:iCs/>
          <w:sz w:val="20"/>
          <w:szCs w:val="20"/>
        </w:rPr>
        <w:t>Certification énergétique (Energy Star, etc.</w:t>
      </w:r>
      <w:r>
        <w:rPr>
          <w:i/>
          <w:iCs/>
          <w:sz w:val="20"/>
          <w:szCs w:val="20"/>
        </w:rPr>
        <w:t>), m</w:t>
      </w:r>
      <w:r w:rsidRPr="008C6D36">
        <w:rPr>
          <w:i/>
          <w:iCs/>
          <w:sz w:val="20"/>
          <w:szCs w:val="20"/>
        </w:rPr>
        <w:t>odes d'économie d'énergie</w:t>
      </w:r>
      <w:r>
        <w:rPr>
          <w:i/>
          <w:iCs/>
          <w:sz w:val="20"/>
          <w:szCs w:val="20"/>
        </w:rPr>
        <w:t xml:space="preserve">, </w:t>
      </w:r>
      <w:r w:rsidRPr="00CE38A8">
        <w:rPr>
          <w:i/>
          <w:iCs/>
          <w:sz w:val="20"/>
          <w:szCs w:val="20"/>
        </w:rPr>
        <w:t>indice de réparabilité (note sur 10), consommation énergétique, taux de matériaux recyclés et recyclables, etc.</w:t>
      </w:r>
    </w:p>
    <w:p w14:paraId="0F215EF1" w14:textId="77777777" w:rsidR="006C5D00" w:rsidRPr="00D83041" w:rsidRDefault="006C5D00" w:rsidP="006C5D00">
      <w:pPr>
        <w:rPr>
          <w:i/>
          <w:iCs/>
          <w:color w:val="E36C0A" w:themeColor="accent6" w:themeShade="BF"/>
          <w:sz w:val="20"/>
          <w:szCs w:val="20"/>
        </w:rPr>
      </w:pPr>
      <w:r w:rsidRPr="00D83041">
        <w:rPr>
          <w:i/>
          <w:iCs/>
          <w:color w:val="E36C0A" w:themeColor="accent6" w:themeShade="BF"/>
          <w:sz w:val="20"/>
          <w:szCs w:val="20"/>
        </w:rPr>
        <w:t>Les candidats doivent fournir des fiches techniques détaillant les certifications énergétiques obtenues par les matériels proposés.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D83041">
        <w:rPr>
          <w:i/>
          <w:iCs/>
          <w:color w:val="E36C0A" w:themeColor="accent6" w:themeShade="BF"/>
          <w:sz w:val="20"/>
          <w:szCs w:val="20"/>
        </w:rPr>
        <w:t>Les fonctionnalités d’économie d’énergie doivent être clairement décrites avec des exemples concrets de leur impact sur la consommation électrique.</w:t>
      </w:r>
      <w:r>
        <w:rPr>
          <w:i/>
          <w:iCs/>
          <w:color w:val="E36C0A" w:themeColor="accent6" w:themeShade="BF"/>
          <w:sz w:val="20"/>
          <w:szCs w:val="20"/>
        </w:rPr>
        <w:t xml:space="preserve"> Il sera également apprécié </w:t>
      </w:r>
      <w:r>
        <w:rPr>
          <w:i/>
          <w:iCs/>
          <w:color w:val="E36C0A" w:themeColor="accent6" w:themeShade="BF"/>
          <w:sz w:val="20"/>
          <w:szCs w:val="20"/>
        </w:rPr>
        <w:lastRenderedPageBreak/>
        <w:t>r</w:t>
      </w:r>
      <w:r w:rsidRPr="00353899">
        <w:rPr>
          <w:i/>
          <w:iCs/>
          <w:color w:val="E36C0A" w:themeColor="accent6" w:themeShade="BF"/>
          <w:sz w:val="20"/>
          <w:szCs w:val="20"/>
        </w:rPr>
        <w:t>ésultats de tests indépendant</w:t>
      </w:r>
      <w:r>
        <w:rPr>
          <w:i/>
          <w:iCs/>
          <w:color w:val="E36C0A" w:themeColor="accent6" w:themeShade="BF"/>
          <w:sz w:val="20"/>
          <w:szCs w:val="20"/>
        </w:rPr>
        <w:t>s, la d</w:t>
      </w:r>
      <w:r w:rsidRPr="00353899">
        <w:rPr>
          <w:i/>
          <w:iCs/>
          <w:color w:val="E36C0A" w:themeColor="accent6" w:themeShade="BF"/>
          <w:sz w:val="20"/>
          <w:szCs w:val="20"/>
        </w:rPr>
        <w:t>ocumentation constructeur officielle</w:t>
      </w:r>
      <w:r>
        <w:rPr>
          <w:i/>
          <w:iCs/>
          <w:color w:val="E36C0A" w:themeColor="accent6" w:themeShade="BF"/>
          <w:sz w:val="20"/>
          <w:szCs w:val="20"/>
        </w:rPr>
        <w:t xml:space="preserve"> et les b</w:t>
      </w:r>
      <w:r w:rsidRPr="00353899">
        <w:rPr>
          <w:i/>
          <w:iCs/>
          <w:color w:val="E36C0A" w:themeColor="accent6" w:themeShade="BF"/>
          <w:sz w:val="20"/>
          <w:szCs w:val="20"/>
        </w:rPr>
        <w:t>ordereaux de suivi des déchets pour la traçabilité</w:t>
      </w:r>
      <w:r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p w14:paraId="44CC53D4" w14:textId="4822E6B8" w:rsidR="00D83041" w:rsidRPr="00D83041" w:rsidRDefault="00D83041" w:rsidP="006C5D00">
      <w:pPr>
        <w:pStyle w:val="Titre2"/>
        <w:numPr>
          <w:ilvl w:val="0"/>
          <w:numId w:val="0"/>
        </w:numPr>
        <w:ind w:left="720"/>
        <w:rPr>
          <w:i/>
          <w:iCs/>
          <w:color w:val="E36C0A" w:themeColor="accent6" w:themeShade="BF"/>
          <w:sz w:val="20"/>
          <w:szCs w:val="20"/>
        </w:rPr>
      </w:pPr>
    </w:p>
    <w:sectPr w:rsidR="00D83041" w:rsidRPr="00D83041" w:rsidSect="004122C7">
      <w:headerReference w:type="default" r:id="rId11"/>
      <w:footerReference w:type="even" r:id="rId12"/>
      <w:footerReference w:type="default" r:id="rId13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F7831" w14:textId="77777777" w:rsidR="006522CA" w:rsidRDefault="006522CA">
      <w:pPr>
        <w:spacing w:after="0" w:line="240" w:lineRule="auto"/>
      </w:pPr>
      <w:r>
        <w:separator/>
      </w:r>
    </w:p>
  </w:endnote>
  <w:endnote w:type="continuationSeparator" w:id="0">
    <w:p w14:paraId="47491215" w14:textId="77777777" w:rsidR="006522CA" w:rsidRDefault="00652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4BFEF70B" w:rsidR="00494DC2" w:rsidRPr="005941F4" w:rsidRDefault="003D5C21" w:rsidP="003D5C21">
    <w:pPr>
      <w:rPr>
        <w:i/>
        <w:iCs/>
        <w:color w:val="A6A6A6" w:themeColor="background1" w:themeShade="A6"/>
        <w:sz w:val="20"/>
        <w:szCs w:val="20"/>
      </w:rPr>
    </w:pPr>
    <w:r w:rsidRPr="005941F4">
      <w:rPr>
        <w:i/>
        <w:iCs/>
        <w:noProof/>
        <w:color w:val="A6A6A6" w:themeColor="background1" w:themeShade="A6"/>
        <w:sz w:val="20"/>
        <w:szCs w:val="20"/>
      </w:rPr>
      <w:drawing>
        <wp:anchor distT="0" distB="0" distL="114300" distR="114300" simplePos="0" relativeHeight="251660288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 w:rsidRPr="005941F4">
      <w:rPr>
        <w:i/>
        <w:iCs/>
        <w:color w:val="A6A6A6" w:themeColor="background1" w:themeShade="A6"/>
        <w:sz w:val="20"/>
        <w:szCs w:val="20"/>
      </w:rPr>
      <w:t xml:space="preserve">CRT – LOT </w:t>
    </w:r>
    <w:r w:rsidR="00CC688F" w:rsidRPr="005941F4">
      <w:rPr>
        <w:i/>
        <w:iCs/>
        <w:color w:val="A6A6A6" w:themeColor="background1" w:themeShade="A6"/>
        <w:sz w:val="20"/>
        <w:szCs w:val="20"/>
      </w:rPr>
      <w:t>3</w:t>
    </w:r>
    <w:r w:rsidR="00B27D51" w:rsidRPr="005941F4">
      <w:rPr>
        <w:i/>
        <w:iCs/>
        <w:color w:val="A6A6A6" w:themeColor="background1" w:themeShade="A6"/>
        <w:sz w:val="20"/>
        <w:szCs w:val="20"/>
      </w:rPr>
      <w:t xml:space="preserve"> : Fourniture </w:t>
    </w:r>
    <w:r w:rsidR="00CC688F" w:rsidRPr="005941F4">
      <w:rPr>
        <w:i/>
        <w:iCs/>
        <w:color w:val="A6A6A6" w:themeColor="background1" w:themeShade="A6"/>
        <w:sz w:val="20"/>
        <w:szCs w:val="20"/>
      </w:rPr>
      <w:t>écrans bureautique &amp; Equipement divers</w:t>
    </w:r>
    <w:r w:rsidRPr="005941F4">
      <w:rPr>
        <w:i/>
        <w:iCs/>
        <w:color w:val="A6A6A6" w:themeColor="background1" w:themeShade="A6"/>
        <w:sz w:val="20"/>
        <w:szCs w:val="20"/>
      </w:rPr>
      <w:t xml:space="preserve"> - Marché n°2026DSI0</w:t>
    </w:r>
    <w:r w:rsidR="005941F4" w:rsidRPr="005941F4">
      <w:rPr>
        <w:i/>
        <w:iCs/>
        <w:color w:val="A6A6A6" w:themeColor="background1" w:themeShade="A6"/>
        <w:sz w:val="20"/>
        <w:szCs w:val="20"/>
      </w:rPr>
      <w:t>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F255" w14:textId="77777777" w:rsidR="006522CA" w:rsidRDefault="006522CA">
      <w:pPr>
        <w:spacing w:after="0" w:line="240" w:lineRule="auto"/>
      </w:pPr>
      <w:r>
        <w:separator/>
      </w:r>
    </w:p>
  </w:footnote>
  <w:footnote w:type="continuationSeparator" w:id="0">
    <w:p w14:paraId="65FB3EB2" w14:textId="77777777" w:rsidR="006522CA" w:rsidRDefault="00652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2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4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720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2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3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2"/>
  </w:num>
  <w:num w:numId="11" w16cid:durableId="1230917234">
    <w:abstractNumId w:val="11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3"/>
  </w:num>
  <w:num w:numId="13" w16cid:durableId="336856816">
    <w:abstractNumId w:val="24"/>
  </w:num>
  <w:num w:numId="14" w16cid:durableId="2105416397">
    <w:abstractNumId w:val="25"/>
  </w:num>
  <w:num w:numId="15" w16cid:durableId="2066683062">
    <w:abstractNumId w:val="28"/>
  </w:num>
  <w:num w:numId="16" w16cid:durableId="1554149488">
    <w:abstractNumId w:val="12"/>
    <w:lvlOverride w:ilvl="0">
      <w:startOverride w:val="1"/>
    </w:lvlOverride>
  </w:num>
  <w:num w:numId="17" w16cid:durableId="1763066575">
    <w:abstractNumId w:val="12"/>
    <w:lvlOverride w:ilvl="0">
      <w:startOverride w:val="1"/>
    </w:lvlOverride>
  </w:num>
  <w:num w:numId="18" w16cid:durableId="35543463">
    <w:abstractNumId w:val="12"/>
    <w:lvlOverride w:ilvl="0">
      <w:startOverride w:val="1"/>
    </w:lvlOverride>
  </w:num>
  <w:num w:numId="19" w16cid:durableId="1758863697">
    <w:abstractNumId w:val="17"/>
  </w:num>
  <w:num w:numId="20" w16cid:durableId="404763954">
    <w:abstractNumId w:val="14"/>
  </w:num>
  <w:num w:numId="21" w16cid:durableId="13967631">
    <w:abstractNumId w:val="22"/>
  </w:num>
  <w:num w:numId="22" w16cid:durableId="1386754271">
    <w:abstractNumId w:val="19"/>
  </w:num>
  <w:num w:numId="23" w16cid:durableId="1201363915">
    <w:abstractNumId w:val="22"/>
  </w:num>
  <w:num w:numId="24" w16cid:durableId="1370763892">
    <w:abstractNumId w:val="22"/>
  </w:num>
  <w:num w:numId="25" w16cid:durableId="2096248412">
    <w:abstractNumId w:val="32"/>
  </w:num>
  <w:num w:numId="26" w16cid:durableId="519203144">
    <w:abstractNumId w:val="22"/>
  </w:num>
  <w:num w:numId="27" w16cid:durableId="1311597086">
    <w:abstractNumId w:val="13"/>
  </w:num>
  <w:num w:numId="28" w16cid:durableId="1580286453">
    <w:abstractNumId w:val="18"/>
  </w:num>
  <w:num w:numId="29" w16cid:durableId="806170112">
    <w:abstractNumId w:val="10"/>
  </w:num>
  <w:num w:numId="30" w16cid:durableId="1434671477">
    <w:abstractNumId w:val="23"/>
  </w:num>
  <w:num w:numId="31" w16cid:durableId="531504618">
    <w:abstractNumId w:val="22"/>
  </w:num>
  <w:num w:numId="32" w16cid:durableId="932779870">
    <w:abstractNumId w:val="20"/>
  </w:num>
  <w:num w:numId="33" w16cid:durableId="2098286148">
    <w:abstractNumId w:val="31"/>
  </w:num>
  <w:num w:numId="34" w16cid:durableId="1155415035">
    <w:abstractNumId w:val="26"/>
  </w:num>
  <w:num w:numId="35" w16cid:durableId="313530964">
    <w:abstractNumId w:val="21"/>
  </w:num>
  <w:num w:numId="36" w16cid:durableId="1091703817">
    <w:abstractNumId w:val="27"/>
  </w:num>
  <w:num w:numId="37" w16cid:durableId="1264260674">
    <w:abstractNumId w:val="15"/>
  </w:num>
  <w:num w:numId="38" w16cid:durableId="1377317443">
    <w:abstractNumId w:val="9"/>
  </w:num>
  <w:num w:numId="39" w16cid:durableId="1338731673">
    <w:abstractNumId w:val="30"/>
  </w:num>
  <w:num w:numId="40" w16cid:durableId="226763259">
    <w:abstractNumId w:val="22"/>
  </w:num>
  <w:num w:numId="41" w16cid:durableId="1717699612">
    <w:abstractNumId w:val="29"/>
  </w:num>
  <w:num w:numId="42" w16cid:durableId="378819419">
    <w:abstractNumId w:val="16"/>
  </w:num>
  <w:num w:numId="43" w16cid:durableId="5969092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CBD"/>
    <w:rsid w:val="000267E4"/>
    <w:rsid w:val="00030631"/>
    <w:rsid w:val="00034616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A1CBD"/>
    <w:rsid w:val="000A1EAF"/>
    <w:rsid w:val="000D1B07"/>
    <w:rsid w:val="000D2BA2"/>
    <w:rsid w:val="000E72DB"/>
    <w:rsid w:val="000F7091"/>
    <w:rsid w:val="00101A4E"/>
    <w:rsid w:val="00101DB3"/>
    <w:rsid w:val="00104EA6"/>
    <w:rsid w:val="00107EBD"/>
    <w:rsid w:val="00120986"/>
    <w:rsid w:val="0015074B"/>
    <w:rsid w:val="0015215F"/>
    <w:rsid w:val="00154B2F"/>
    <w:rsid w:val="00157ED9"/>
    <w:rsid w:val="00163DA8"/>
    <w:rsid w:val="00172299"/>
    <w:rsid w:val="0017424F"/>
    <w:rsid w:val="00176F19"/>
    <w:rsid w:val="00182B1F"/>
    <w:rsid w:val="00195E7B"/>
    <w:rsid w:val="001A3D4D"/>
    <w:rsid w:val="001A5499"/>
    <w:rsid w:val="001A66E3"/>
    <w:rsid w:val="001B0F6C"/>
    <w:rsid w:val="001B1CAB"/>
    <w:rsid w:val="001B7B3D"/>
    <w:rsid w:val="001C329B"/>
    <w:rsid w:val="001D4E25"/>
    <w:rsid w:val="001E49D8"/>
    <w:rsid w:val="001E77F5"/>
    <w:rsid w:val="001F0632"/>
    <w:rsid w:val="001F4525"/>
    <w:rsid w:val="00207E76"/>
    <w:rsid w:val="00214915"/>
    <w:rsid w:val="00221781"/>
    <w:rsid w:val="0022460C"/>
    <w:rsid w:val="0022717C"/>
    <w:rsid w:val="00227977"/>
    <w:rsid w:val="00236249"/>
    <w:rsid w:val="00266611"/>
    <w:rsid w:val="0028126A"/>
    <w:rsid w:val="00283453"/>
    <w:rsid w:val="00287641"/>
    <w:rsid w:val="00287703"/>
    <w:rsid w:val="00293EF9"/>
    <w:rsid w:val="0029639D"/>
    <w:rsid w:val="002A26D8"/>
    <w:rsid w:val="002A2E5B"/>
    <w:rsid w:val="002B386C"/>
    <w:rsid w:val="002B4273"/>
    <w:rsid w:val="002B4533"/>
    <w:rsid w:val="002B49D5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3061D8"/>
    <w:rsid w:val="00315286"/>
    <w:rsid w:val="00326862"/>
    <w:rsid w:val="00326F90"/>
    <w:rsid w:val="00344FC2"/>
    <w:rsid w:val="00347865"/>
    <w:rsid w:val="003505F7"/>
    <w:rsid w:val="003543CF"/>
    <w:rsid w:val="0037404C"/>
    <w:rsid w:val="00376DBA"/>
    <w:rsid w:val="003B3B67"/>
    <w:rsid w:val="003B708A"/>
    <w:rsid w:val="003C1791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22C7"/>
    <w:rsid w:val="00412E05"/>
    <w:rsid w:val="00427385"/>
    <w:rsid w:val="00434D2B"/>
    <w:rsid w:val="00442BA0"/>
    <w:rsid w:val="00443994"/>
    <w:rsid w:val="00443A39"/>
    <w:rsid w:val="004553ED"/>
    <w:rsid w:val="00460FEE"/>
    <w:rsid w:val="00463E5F"/>
    <w:rsid w:val="00470DE9"/>
    <w:rsid w:val="00473813"/>
    <w:rsid w:val="0047596A"/>
    <w:rsid w:val="00482FA6"/>
    <w:rsid w:val="0048508F"/>
    <w:rsid w:val="00487F73"/>
    <w:rsid w:val="0049461E"/>
    <w:rsid w:val="00494DC2"/>
    <w:rsid w:val="00497AF1"/>
    <w:rsid w:val="004A0560"/>
    <w:rsid w:val="004A26C0"/>
    <w:rsid w:val="004A4A0F"/>
    <w:rsid w:val="004D2095"/>
    <w:rsid w:val="004D603A"/>
    <w:rsid w:val="004E1FCA"/>
    <w:rsid w:val="004E36E6"/>
    <w:rsid w:val="004E500A"/>
    <w:rsid w:val="004E5675"/>
    <w:rsid w:val="004E6C7F"/>
    <w:rsid w:val="004F0246"/>
    <w:rsid w:val="004F12DE"/>
    <w:rsid w:val="004F1B70"/>
    <w:rsid w:val="004F3F33"/>
    <w:rsid w:val="004F705A"/>
    <w:rsid w:val="0050365A"/>
    <w:rsid w:val="00511407"/>
    <w:rsid w:val="0051265C"/>
    <w:rsid w:val="00512730"/>
    <w:rsid w:val="005138B7"/>
    <w:rsid w:val="00515902"/>
    <w:rsid w:val="00520A37"/>
    <w:rsid w:val="00541AC1"/>
    <w:rsid w:val="00541BC6"/>
    <w:rsid w:val="005421EB"/>
    <w:rsid w:val="00543B3D"/>
    <w:rsid w:val="00551552"/>
    <w:rsid w:val="00555E40"/>
    <w:rsid w:val="00566243"/>
    <w:rsid w:val="0056699C"/>
    <w:rsid w:val="00577784"/>
    <w:rsid w:val="00591C25"/>
    <w:rsid w:val="00591D98"/>
    <w:rsid w:val="005941F4"/>
    <w:rsid w:val="005A4545"/>
    <w:rsid w:val="005C0542"/>
    <w:rsid w:val="005D1E42"/>
    <w:rsid w:val="005E380A"/>
    <w:rsid w:val="005F4299"/>
    <w:rsid w:val="005F44B9"/>
    <w:rsid w:val="00600DEF"/>
    <w:rsid w:val="00603019"/>
    <w:rsid w:val="00604CAE"/>
    <w:rsid w:val="006062FC"/>
    <w:rsid w:val="00607717"/>
    <w:rsid w:val="006127A0"/>
    <w:rsid w:val="006177AB"/>
    <w:rsid w:val="0062008A"/>
    <w:rsid w:val="00644F4F"/>
    <w:rsid w:val="00647470"/>
    <w:rsid w:val="006522CA"/>
    <w:rsid w:val="00666709"/>
    <w:rsid w:val="0068544B"/>
    <w:rsid w:val="00693724"/>
    <w:rsid w:val="006962B2"/>
    <w:rsid w:val="00697681"/>
    <w:rsid w:val="006B26B4"/>
    <w:rsid w:val="006C1D07"/>
    <w:rsid w:val="006C3A8E"/>
    <w:rsid w:val="006C5D00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201A"/>
    <w:rsid w:val="00705D12"/>
    <w:rsid w:val="0071186E"/>
    <w:rsid w:val="007137EA"/>
    <w:rsid w:val="00713FF8"/>
    <w:rsid w:val="00721C1B"/>
    <w:rsid w:val="00721C9C"/>
    <w:rsid w:val="00725BDC"/>
    <w:rsid w:val="0073045A"/>
    <w:rsid w:val="00735746"/>
    <w:rsid w:val="007411D4"/>
    <w:rsid w:val="0075158B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1586"/>
    <w:rsid w:val="007C1F12"/>
    <w:rsid w:val="007D089B"/>
    <w:rsid w:val="007D240C"/>
    <w:rsid w:val="007D3F58"/>
    <w:rsid w:val="007D63B6"/>
    <w:rsid w:val="007F0240"/>
    <w:rsid w:val="007F572D"/>
    <w:rsid w:val="00806115"/>
    <w:rsid w:val="00806408"/>
    <w:rsid w:val="008231FA"/>
    <w:rsid w:val="00835C79"/>
    <w:rsid w:val="0084569E"/>
    <w:rsid w:val="00851019"/>
    <w:rsid w:val="00856FFC"/>
    <w:rsid w:val="00857693"/>
    <w:rsid w:val="0088507E"/>
    <w:rsid w:val="00895568"/>
    <w:rsid w:val="0089624B"/>
    <w:rsid w:val="00896753"/>
    <w:rsid w:val="008A0161"/>
    <w:rsid w:val="008A2C82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40DC0"/>
    <w:rsid w:val="00942394"/>
    <w:rsid w:val="00943C1C"/>
    <w:rsid w:val="00945B4D"/>
    <w:rsid w:val="00946054"/>
    <w:rsid w:val="00954B6A"/>
    <w:rsid w:val="00970715"/>
    <w:rsid w:val="00976875"/>
    <w:rsid w:val="00992509"/>
    <w:rsid w:val="009B4E1E"/>
    <w:rsid w:val="009C1E6C"/>
    <w:rsid w:val="009C1F5F"/>
    <w:rsid w:val="009C36B8"/>
    <w:rsid w:val="009C484B"/>
    <w:rsid w:val="009C5076"/>
    <w:rsid w:val="009D2A4D"/>
    <w:rsid w:val="009D43B1"/>
    <w:rsid w:val="009E050E"/>
    <w:rsid w:val="009F3D7F"/>
    <w:rsid w:val="009F70B0"/>
    <w:rsid w:val="00A026A5"/>
    <w:rsid w:val="00A02A71"/>
    <w:rsid w:val="00A17CF6"/>
    <w:rsid w:val="00A36B39"/>
    <w:rsid w:val="00A46990"/>
    <w:rsid w:val="00A55516"/>
    <w:rsid w:val="00A6121C"/>
    <w:rsid w:val="00A6227D"/>
    <w:rsid w:val="00A7535F"/>
    <w:rsid w:val="00A81D2E"/>
    <w:rsid w:val="00A86A97"/>
    <w:rsid w:val="00A97ECA"/>
    <w:rsid w:val="00AA0038"/>
    <w:rsid w:val="00AA1D8D"/>
    <w:rsid w:val="00AB46D6"/>
    <w:rsid w:val="00AE0134"/>
    <w:rsid w:val="00AE2E25"/>
    <w:rsid w:val="00AE79AE"/>
    <w:rsid w:val="00AF4EA6"/>
    <w:rsid w:val="00B058DA"/>
    <w:rsid w:val="00B06282"/>
    <w:rsid w:val="00B211CA"/>
    <w:rsid w:val="00B2318B"/>
    <w:rsid w:val="00B27D51"/>
    <w:rsid w:val="00B347B2"/>
    <w:rsid w:val="00B37874"/>
    <w:rsid w:val="00B47730"/>
    <w:rsid w:val="00B52600"/>
    <w:rsid w:val="00B53093"/>
    <w:rsid w:val="00B53289"/>
    <w:rsid w:val="00B61C55"/>
    <w:rsid w:val="00B721DD"/>
    <w:rsid w:val="00B72910"/>
    <w:rsid w:val="00B7403A"/>
    <w:rsid w:val="00B86478"/>
    <w:rsid w:val="00B9434D"/>
    <w:rsid w:val="00BA39ED"/>
    <w:rsid w:val="00BB21E4"/>
    <w:rsid w:val="00BB30D4"/>
    <w:rsid w:val="00BB331E"/>
    <w:rsid w:val="00BC078C"/>
    <w:rsid w:val="00BC2B59"/>
    <w:rsid w:val="00BD2D2F"/>
    <w:rsid w:val="00BD3A5C"/>
    <w:rsid w:val="00BD4FC7"/>
    <w:rsid w:val="00BD626A"/>
    <w:rsid w:val="00BE015E"/>
    <w:rsid w:val="00BE2608"/>
    <w:rsid w:val="00BE7407"/>
    <w:rsid w:val="00BF4C56"/>
    <w:rsid w:val="00BF6AC9"/>
    <w:rsid w:val="00C008A8"/>
    <w:rsid w:val="00C0365E"/>
    <w:rsid w:val="00C04C9E"/>
    <w:rsid w:val="00C2038A"/>
    <w:rsid w:val="00C24CC9"/>
    <w:rsid w:val="00C31414"/>
    <w:rsid w:val="00C33B12"/>
    <w:rsid w:val="00C34CC6"/>
    <w:rsid w:val="00C4075F"/>
    <w:rsid w:val="00C42E99"/>
    <w:rsid w:val="00C44B75"/>
    <w:rsid w:val="00C45968"/>
    <w:rsid w:val="00C502F0"/>
    <w:rsid w:val="00C541C2"/>
    <w:rsid w:val="00C715D0"/>
    <w:rsid w:val="00C76E74"/>
    <w:rsid w:val="00C92C1B"/>
    <w:rsid w:val="00C94808"/>
    <w:rsid w:val="00C94820"/>
    <w:rsid w:val="00CB0664"/>
    <w:rsid w:val="00CC688F"/>
    <w:rsid w:val="00CD3FAF"/>
    <w:rsid w:val="00CD7EF2"/>
    <w:rsid w:val="00CE546A"/>
    <w:rsid w:val="00CE7D12"/>
    <w:rsid w:val="00CF5DFA"/>
    <w:rsid w:val="00D019C2"/>
    <w:rsid w:val="00D107D9"/>
    <w:rsid w:val="00D20C9E"/>
    <w:rsid w:val="00D20FAB"/>
    <w:rsid w:val="00D27345"/>
    <w:rsid w:val="00D4301C"/>
    <w:rsid w:val="00D52F18"/>
    <w:rsid w:val="00D536AE"/>
    <w:rsid w:val="00D67211"/>
    <w:rsid w:val="00D70B63"/>
    <w:rsid w:val="00D77A02"/>
    <w:rsid w:val="00D82E86"/>
    <w:rsid w:val="00D83041"/>
    <w:rsid w:val="00D8741D"/>
    <w:rsid w:val="00D9128F"/>
    <w:rsid w:val="00D93CD6"/>
    <w:rsid w:val="00D95896"/>
    <w:rsid w:val="00D96A10"/>
    <w:rsid w:val="00DA2ADC"/>
    <w:rsid w:val="00DB6EE2"/>
    <w:rsid w:val="00DC318F"/>
    <w:rsid w:val="00DC3D56"/>
    <w:rsid w:val="00DC6427"/>
    <w:rsid w:val="00DD06C8"/>
    <w:rsid w:val="00DD479B"/>
    <w:rsid w:val="00E00ACD"/>
    <w:rsid w:val="00E027C3"/>
    <w:rsid w:val="00E035B7"/>
    <w:rsid w:val="00E33515"/>
    <w:rsid w:val="00E46DDC"/>
    <w:rsid w:val="00E5211C"/>
    <w:rsid w:val="00E61F07"/>
    <w:rsid w:val="00E6249E"/>
    <w:rsid w:val="00E63311"/>
    <w:rsid w:val="00E64C1D"/>
    <w:rsid w:val="00EA0BE5"/>
    <w:rsid w:val="00EA6BB6"/>
    <w:rsid w:val="00EB35BA"/>
    <w:rsid w:val="00EC46F9"/>
    <w:rsid w:val="00ED03C7"/>
    <w:rsid w:val="00ED47BC"/>
    <w:rsid w:val="00EE51AA"/>
    <w:rsid w:val="00EE51E7"/>
    <w:rsid w:val="00EE604D"/>
    <w:rsid w:val="00EF0F35"/>
    <w:rsid w:val="00EF4500"/>
    <w:rsid w:val="00EF45BF"/>
    <w:rsid w:val="00EF7C05"/>
    <w:rsid w:val="00F221AA"/>
    <w:rsid w:val="00F3630A"/>
    <w:rsid w:val="00F45501"/>
    <w:rsid w:val="00F55348"/>
    <w:rsid w:val="00F609AD"/>
    <w:rsid w:val="00F61787"/>
    <w:rsid w:val="00F62847"/>
    <w:rsid w:val="00F67A11"/>
    <w:rsid w:val="00F70131"/>
    <w:rsid w:val="00F706BD"/>
    <w:rsid w:val="00F73BE4"/>
    <w:rsid w:val="00F76B43"/>
    <w:rsid w:val="00F935D1"/>
    <w:rsid w:val="00F95378"/>
    <w:rsid w:val="00F96D8B"/>
    <w:rsid w:val="00F9745D"/>
    <w:rsid w:val="00FB34A4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3065BB-5015-436E-BA52-FED71E517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4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3036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2</cp:revision>
  <cp:lastPrinted>2026-03-26T10:07:00Z</cp:lastPrinted>
  <dcterms:created xsi:type="dcterms:W3CDTF">2026-09-17T12:04:00Z</dcterms:created>
  <dcterms:modified xsi:type="dcterms:W3CDTF">2026-09-17T12:04:00Z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